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94603B" w14:paraId="2AD8585B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0912908A" w14:textId="77777777" w:rsidR="00A80767" w:rsidRPr="00B24FC9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bookmarkStart w:id="0" w:name="_GoBack"/>
            <w:bookmarkEnd w:id="0"/>
            <w:r w:rsidRPr="00B24FC9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283FB5BB" w14:textId="77777777" w:rsidR="00A80767" w:rsidRPr="00B24FC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6ED3F03A" wp14:editId="53B3D5CF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356D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2F2B983B" w14:textId="77777777" w:rsidR="00A80767" w:rsidRPr="00B24FC9" w:rsidRDefault="00FD356D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COMMISSION FOR OBSERVATION, INFRASTRUCTURE AND INFORMATION SYSTEMS</w:t>
            </w:r>
          </w:p>
          <w:p w14:paraId="367BEC58" w14:textId="77777777" w:rsidR="00A80767" w:rsidRPr="00B24FC9" w:rsidRDefault="00FD356D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Second Session</w:t>
            </w:r>
            <w:r w:rsidR="00A80767"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</w:rPr>
              <w:t>24 to 28 October 2022, Geneva</w:t>
            </w:r>
          </w:p>
        </w:tc>
        <w:tc>
          <w:tcPr>
            <w:tcW w:w="2962" w:type="dxa"/>
          </w:tcPr>
          <w:p w14:paraId="4B26CECC" w14:textId="77777777" w:rsidR="00A80767" w:rsidRPr="00FA3986" w:rsidRDefault="00FD356D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INFCOM-2/Doc. 7.1</w:t>
            </w:r>
          </w:p>
        </w:tc>
      </w:tr>
      <w:tr w:rsidR="00A80767" w:rsidRPr="00B24FC9" w14:paraId="39025729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48C25248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61DB68F9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395709F9" w14:textId="77777777" w:rsidR="00A80767" w:rsidRPr="00B24FC9" w:rsidRDefault="00A80767" w:rsidP="00F61628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br/>
            </w:r>
            <w:r w:rsidR="00535813">
              <w:rPr>
                <w:rFonts w:cs="Tahoma"/>
                <w:color w:val="365F91" w:themeColor="accent1" w:themeShade="BF"/>
                <w:szCs w:val="22"/>
              </w:rPr>
              <w:t>Secretary-General</w:t>
            </w:r>
          </w:p>
          <w:p w14:paraId="5B26766A" w14:textId="1A63B776" w:rsidR="00A80767" w:rsidRPr="00B24FC9" w:rsidRDefault="00246DFC" w:rsidP="00F61628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2</w:t>
            </w:r>
            <w:r w:rsidR="00F61628">
              <w:rPr>
                <w:rFonts w:cs="Tahoma"/>
                <w:color w:val="365F91" w:themeColor="accent1" w:themeShade="BF"/>
                <w:szCs w:val="22"/>
              </w:rPr>
              <w:t>6</w:t>
            </w:r>
            <w:r w:rsidR="00FD356D">
              <w:rPr>
                <w:rFonts w:cs="Tahoma"/>
                <w:color w:val="365F91" w:themeColor="accent1" w:themeShade="BF"/>
                <w:szCs w:val="22"/>
              </w:rPr>
              <w:t>.IX.2022</w:t>
            </w:r>
          </w:p>
          <w:p w14:paraId="6D999BFE" w14:textId="77777777" w:rsidR="00A80767" w:rsidRPr="00B24FC9" w:rsidRDefault="00A80767" w:rsidP="00F61628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1</w:t>
            </w:r>
          </w:p>
        </w:tc>
      </w:tr>
    </w:tbl>
    <w:p w14:paraId="29D68B59" w14:textId="77777777" w:rsidR="00A80767" w:rsidRPr="00B24FC9" w:rsidRDefault="00FD356D" w:rsidP="00A80767">
      <w:pPr>
        <w:pStyle w:val="WMOBodyText"/>
        <w:ind w:left="2977" w:hanging="2977"/>
      </w:pPr>
      <w:r>
        <w:rPr>
          <w:b/>
          <w:bCs/>
        </w:rPr>
        <w:t>AGENDA ITEM 7:</w:t>
      </w:r>
      <w:r>
        <w:rPr>
          <w:b/>
          <w:bCs/>
        </w:rPr>
        <w:tab/>
        <w:t>PROCEDURAL AND COORDINATION ASPECTS</w:t>
      </w:r>
    </w:p>
    <w:p w14:paraId="26ACABCD" w14:textId="77777777" w:rsidR="00A80767" w:rsidRPr="00B24FC9" w:rsidRDefault="00FD356D" w:rsidP="00A80767">
      <w:pPr>
        <w:pStyle w:val="WMOBodyText"/>
        <w:ind w:left="2977" w:hanging="2977"/>
      </w:pPr>
      <w:r>
        <w:rPr>
          <w:b/>
          <w:bCs/>
        </w:rPr>
        <w:t>AGENDA ITEM 7.1:</w:t>
      </w:r>
      <w:r>
        <w:rPr>
          <w:b/>
          <w:bCs/>
        </w:rPr>
        <w:tab/>
        <w:t>Amendments to the Technical Regulations (WMO-No. 49), Appendix to General Provisions</w:t>
      </w:r>
    </w:p>
    <w:p w14:paraId="4947A27A" w14:textId="77777777" w:rsidR="00E36A28" w:rsidRDefault="00246DFC" w:rsidP="00E36A28">
      <w:pPr>
        <w:pStyle w:val="Heading1"/>
      </w:pPr>
      <w:bookmarkStart w:id="1" w:name="_APPENDIX_A:_"/>
      <w:bookmarkEnd w:id="1"/>
      <w:r>
        <w:t>Approach to</w:t>
      </w:r>
      <w:r w:rsidR="00E36A28" w:rsidRPr="00D20652">
        <w:t xml:space="preserve"> AMENDMENTS TO THE TECHNICAL REGULATIONS (WMO-NO. 49), APPENDIX TO GENERAL PROVISIONS</w:t>
      </w:r>
    </w:p>
    <w:p w14:paraId="5C30F557" w14:textId="77777777" w:rsidR="00092CAE" w:rsidRDefault="00092CAE" w:rsidP="00092CAE">
      <w:pPr>
        <w:pStyle w:val="WMOBodyText"/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B3BFB" w:rsidRPr="00DE48B4" w14:paraId="1F042A04" w14:textId="77777777" w:rsidTr="00F61628">
        <w:trPr>
          <w:jc w:val="center"/>
        </w:trPr>
        <w:tc>
          <w:tcPr>
            <w:tcW w:w="5000" w:type="pct"/>
          </w:tcPr>
          <w:p w14:paraId="5D40EE55" w14:textId="77777777" w:rsidR="008B3BFB" w:rsidRPr="00E264A3" w:rsidRDefault="008B3BFB" w:rsidP="007B19B9">
            <w:pPr>
              <w:pStyle w:val="WMOBodyText"/>
              <w:spacing w:after="240"/>
              <w:jc w:val="center"/>
              <w:rPr>
                <w:i/>
                <w:iCs/>
              </w:rPr>
            </w:pPr>
            <w:r w:rsidRPr="00DE48B4">
              <w:rPr>
                <w:rFonts w:ascii="Verdana Bold" w:hAnsi="Verdana Bold" w:cstheme="minorHAnsi"/>
                <w:b/>
                <w:bCs/>
                <w:caps/>
              </w:rPr>
              <w:t>Summary</w:t>
            </w:r>
          </w:p>
        </w:tc>
      </w:tr>
      <w:tr w:rsidR="008B3BFB" w:rsidRPr="00DE48B4" w14:paraId="1E231D6F" w14:textId="77777777" w:rsidTr="00F61628">
        <w:trPr>
          <w:jc w:val="center"/>
        </w:trPr>
        <w:tc>
          <w:tcPr>
            <w:tcW w:w="5000" w:type="pct"/>
          </w:tcPr>
          <w:p w14:paraId="7DCCADF2" w14:textId="2AE13A7A" w:rsidR="00D80A17" w:rsidRPr="00E22336" w:rsidRDefault="00D80A17" w:rsidP="00D80A17">
            <w:pPr>
              <w:pStyle w:val="WMOBodyText"/>
              <w:spacing w:before="160"/>
              <w:jc w:val="left"/>
              <w:rPr>
                <w:lang w:val="en-US"/>
              </w:rPr>
            </w:pPr>
            <w:r w:rsidRPr="00E22336">
              <w:rPr>
                <w:b/>
                <w:bCs/>
                <w:lang w:val="en-US"/>
              </w:rPr>
              <w:t>Document presented by:</w:t>
            </w:r>
            <w:r w:rsidRPr="00E22336">
              <w:rPr>
                <w:lang w:val="en-US"/>
              </w:rPr>
              <w:t xml:space="preserve"> Secretary-General, advised by the presidents of SERCOM and INFCOM, to recommend an approach to amend the Appendix to General Provisions of the</w:t>
            </w:r>
            <w:r w:rsidRPr="00E22336">
              <w:rPr>
                <w:i/>
                <w:iCs/>
                <w:lang w:val="en-US"/>
              </w:rPr>
              <w:t xml:space="preserve"> </w:t>
            </w:r>
            <w:hyperlink r:id="rId12" w:history="1">
              <w:r w:rsidRPr="00E22336">
                <w:rPr>
                  <w:rStyle w:val="Hyperlink"/>
                  <w:i/>
                  <w:iCs/>
                  <w:lang w:val="en-US"/>
                </w:rPr>
                <w:t>Technical Regulations</w:t>
              </w:r>
            </w:hyperlink>
            <w:r w:rsidRPr="00E22336">
              <w:rPr>
                <w:lang w:val="en-US"/>
              </w:rPr>
              <w:t xml:space="preserve"> (WMO-No. 49) to codify unified p</w:t>
            </w:r>
            <w:r w:rsidRPr="00E22336">
              <w:rPr>
                <w:rFonts w:eastAsia="MS Mincho"/>
                <w:lang w:val="en-US"/>
              </w:rPr>
              <w:t xml:space="preserve">rocedures for producing, amending and publishing </w:t>
            </w:r>
            <w:r w:rsidRPr="00E22336">
              <w:rPr>
                <w:lang w:val="en-US"/>
              </w:rPr>
              <w:t xml:space="preserve">the </w:t>
            </w:r>
            <w:r w:rsidRPr="00D157DA">
              <w:rPr>
                <w:i/>
                <w:iCs/>
                <w:lang w:val="en-US"/>
              </w:rPr>
              <w:t>Technical</w:t>
            </w:r>
            <w:r>
              <w:rPr>
                <w:lang w:val="en-US"/>
              </w:rPr>
              <w:t xml:space="preserve"> </w:t>
            </w:r>
            <w:r w:rsidRPr="00E22336">
              <w:rPr>
                <w:i/>
                <w:iCs/>
                <w:lang w:val="en-US"/>
              </w:rPr>
              <w:t>Regulations</w:t>
            </w:r>
            <w:r w:rsidRPr="00E22336">
              <w:rPr>
                <w:lang w:val="en-US"/>
              </w:rPr>
              <w:t xml:space="preserve">, Volumes I and III, the manuals which are annexes to the </w:t>
            </w:r>
            <w:r w:rsidRPr="00A77A70">
              <w:rPr>
                <w:i/>
                <w:iCs/>
                <w:lang w:val="en-US"/>
              </w:rPr>
              <w:t>Technical</w:t>
            </w:r>
            <w:r>
              <w:rPr>
                <w:lang w:val="en-US"/>
              </w:rPr>
              <w:t xml:space="preserve"> </w:t>
            </w:r>
            <w:r w:rsidRPr="00E22336">
              <w:rPr>
                <w:i/>
                <w:iCs/>
                <w:lang w:val="en-US"/>
              </w:rPr>
              <w:t>Regulations</w:t>
            </w:r>
            <w:r w:rsidRPr="00E22336">
              <w:rPr>
                <w:lang w:val="en-US"/>
              </w:rPr>
              <w:t xml:space="preserve">, and the corresponding non-regulatory publications in accordance with </w:t>
            </w:r>
            <w:hyperlink r:id="rId13" w:history="1">
              <w:r w:rsidRPr="00E22336">
                <w:rPr>
                  <w:rStyle w:val="Hyperlink"/>
                  <w:lang w:val="en-US"/>
                </w:rPr>
                <w:t>Decision 15 (EC-75)</w:t>
              </w:r>
            </w:hyperlink>
            <w:r w:rsidRPr="00E22336">
              <w:rPr>
                <w:lang w:val="en-US"/>
              </w:rPr>
              <w:t xml:space="preserve"> </w:t>
            </w:r>
            <w:r w:rsidR="00745EAB">
              <w:rPr>
                <w:lang w:val="en-US"/>
              </w:rPr>
              <w:t xml:space="preserve">- </w:t>
            </w:r>
            <w:r w:rsidRPr="00E22336">
              <w:rPr>
                <w:lang w:val="en-US"/>
              </w:rPr>
              <w:t>Concept note on the designation of technical commissions for approval of non-regulatory publications.</w:t>
            </w:r>
          </w:p>
          <w:p w14:paraId="303A1C98" w14:textId="77777777" w:rsidR="00D80A17" w:rsidRPr="00E22336" w:rsidRDefault="00D80A17" w:rsidP="00D80A17">
            <w:pPr>
              <w:pStyle w:val="WMOBodyText"/>
              <w:spacing w:before="160"/>
              <w:jc w:val="left"/>
              <w:rPr>
                <w:b/>
                <w:bCs/>
                <w:lang w:val="en-US"/>
              </w:rPr>
            </w:pPr>
            <w:r w:rsidRPr="00E22336">
              <w:rPr>
                <w:b/>
                <w:bCs/>
                <w:lang w:val="en-US"/>
              </w:rPr>
              <w:t xml:space="preserve">Strategic objective 2020–2023: </w:t>
            </w:r>
            <w:r w:rsidRPr="00E22336">
              <w:rPr>
                <w:lang w:val="en-US"/>
              </w:rPr>
              <w:t>5.1 Optimize WMO constituent body structure for more effective decision-making.</w:t>
            </w:r>
            <w:r w:rsidRPr="00E22336">
              <w:rPr>
                <w:highlight w:val="lightGray"/>
                <w:lang w:val="en-US"/>
              </w:rPr>
              <w:t xml:space="preserve"> </w:t>
            </w:r>
          </w:p>
          <w:p w14:paraId="4067BA7A" w14:textId="77777777" w:rsidR="00D80A17" w:rsidRPr="00E22336" w:rsidRDefault="00D80A17" w:rsidP="00D80A17">
            <w:pPr>
              <w:pStyle w:val="WMOBodyText"/>
              <w:spacing w:before="160"/>
              <w:jc w:val="left"/>
              <w:rPr>
                <w:lang w:val="en-US"/>
              </w:rPr>
            </w:pPr>
            <w:r w:rsidRPr="00E22336">
              <w:rPr>
                <w:b/>
                <w:bCs/>
                <w:lang w:val="en-US"/>
              </w:rPr>
              <w:t>Financial and administrative implications:</w:t>
            </w:r>
            <w:r w:rsidRPr="00E22336">
              <w:rPr>
                <w:lang w:val="en-US"/>
              </w:rPr>
              <w:t xml:space="preserve"> within the parameters of the Strategic and Operational Plans 2020–2023.</w:t>
            </w:r>
          </w:p>
          <w:p w14:paraId="6669AA31" w14:textId="1ED14CA3" w:rsidR="00D80A17" w:rsidRPr="00E22336" w:rsidRDefault="00D80A17" w:rsidP="00D80A17">
            <w:pPr>
              <w:pStyle w:val="WMOBodyText"/>
              <w:spacing w:before="160"/>
              <w:jc w:val="left"/>
              <w:rPr>
                <w:lang w:val="en-US"/>
              </w:rPr>
            </w:pPr>
            <w:r w:rsidRPr="00E22336">
              <w:rPr>
                <w:b/>
                <w:bCs/>
                <w:lang w:val="en-US"/>
              </w:rPr>
              <w:t>Key implementers:</w:t>
            </w:r>
            <w:r w:rsidRPr="00E22336">
              <w:rPr>
                <w:lang w:val="en-US"/>
              </w:rPr>
              <w:t xml:space="preserve"> SERCOM, INFCOM, </w:t>
            </w:r>
            <w:r w:rsidR="004C7175">
              <w:rPr>
                <w:lang w:val="en-US"/>
              </w:rPr>
              <w:t xml:space="preserve">the </w:t>
            </w:r>
            <w:r w:rsidRPr="00E22336">
              <w:rPr>
                <w:lang w:val="en-US"/>
              </w:rPr>
              <w:t>Research Board and</w:t>
            </w:r>
            <w:r w:rsidR="004C7175">
              <w:rPr>
                <w:lang w:val="en-US"/>
              </w:rPr>
              <w:t xml:space="preserve"> the</w:t>
            </w:r>
            <w:r w:rsidRPr="00E22336">
              <w:rPr>
                <w:lang w:val="en-US"/>
              </w:rPr>
              <w:t xml:space="preserve"> Technical Coordination </w:t>
            </w:r>
            <w:r>
              <w:rPr>
                <w:lang w:val="en-US"/>
              </w:rPr>
              <w:t>Committee</w:t>
            </w:r>
          </w:p>
          <w:p w14:paraId="7EB30BC3" w14:textId="27BA37F2" w:rsidR="00D80A17" w:rsidRPr="00E22336" w:rsidRDefault="00D80A17" w:rsidP="00D80A17">
            <w:pPr>
              <w:pStyle w:val="WMOBodyText"/>
              <w:spacing w:before="160"/>
              <w:jc w:val="left"/>
              <w:rPr>
                <w:lang w:val="en-US"/>
              </w:rPr>
            </w:pPr>
            <w:r w:rsidRPr="00E22336">
              <w:rPr>
                <w:b/>
                <w:bCs/>
                <w:lang w:val="en-US"/>
              </w:rPr>
              <w:t>Time</w:t>
            </w:r>
            <w:r w:rsidR="00EB322A">
              <w:rPr>
                <w:b/>
                <w:bCs/>
                <w:lang w:val="en-US"/>
              </w:rPr>
              <w:t xml:space="preserve"> </w:t>
            </w:r>
            <w:r w:rsidRPr="00E22336">
              <w:rPr>
                <w:b/>
                <w:bCs/>
                <w:lang w:val="en-US"/>
              </w:rPr>
              <w:t>frame:</w:t>
            </w:r>
            <w:r w:rsidRPr="00E22336">
              <w:rPr>
                <w:lang w:val="en-US"/>
              </w:rPr>
              <w:t xml:space="preserve"> 2022 to the 19</w:t>
            </w:r>
            <w:r w:rsidRPr="00EB322A">
              <w:rPr>
                <w:lang w:val="en-US"/>
              </w:rPr>
              <w:t>th</w:t>
            </w:r>
            <w:r w:rsidRPr="00E22336">
              <w:rPr>
                <w:lang w:val="en-US"/>
              </w:rPr>
              <w:t xml:space="preserve"> World Meteorological Congress</w:t>
            </w:r>
          </w:p>
          <w:p w14:paraId="35D7429C" w14:textId="77777777" w:rsidR="008B3BFB" w:rsidRPr="00DE48B4" w:rsidRDefault="008B3BFB" w:rsidP="004C7175">
            <w:pPr>
              <w:pStyle w:val="WMOBodyText"/>
              <w:spacing w:before="160" w:after="120"/>
              <w:ind w:right="-170"/>
              <w:jc w:val="left"/>
            </w:pPr>
            <w:r w:rsidRPr="000E67E2">
              <w:rPr>
                <w:b/>
                <w:bCs/>
              </w:rPr>
              <w:t>Action expected:</w:t>
            </w:r>
            <w:r>
              <w:t xml:space="preserve"> </w:t>
            </w:r>
            <w:r w:rsidRPr="00E50773">
              <w:rPr>
                <w:lang w:val="en-US"/>
              </w:rPr>
              <w:t xml:space="preserve">to adopt </w:t>
            </w:r>
            <w:hyperlink w:anchor="_Draft_Decision_7.1/1" w:history="1">
              <w:r w:rsidR="00625AA8" w:rsidRPr="00346E59">
                <w:rPr>
                  <w:rStyle w:val="Hyperlink"/>
                  <w:lang w:val="en-US"/>
                </w:rPr>
                <w:t>Draft Decision 7.1/1</w:t>
              </w:r>
              <w:r w:rsidR="004270B8" w:rsidRPr="00346E59">
                <w:rPr>
                  <w:rStyle w:val="Hyperlink"/>
                  <w:lang w:val="en-US"/>
                </w:rPr>
                <w:t xml:space="preserve"> (INFCOM-2)</w:t>
              </w:r>
            </w:hyperlink>
            <w:r w:rsidR="00625AA8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to </w:t>
            </w:r>
            <w:r w:rsidR="002D454C">
              <w:rPr>
                <w:lang w:val="en-US"/>
              </w:rPr>
              <w:t>concur with</w:t>
            </w:r>
            <w:r>
              <w:rPr>
                <w:lang w:val="en-US"/>
              </w:rPr>
              <w:t xml:space="preserve"> </w:t>
            </w:r>
            <w:r w:rsidRPr="00E50773">
              <w:rPr>
                <w:color w:val="3333FF"/>
                <w:lang w:val="en-US"/>
              </w:rPr>
              <w:fldChar w:fldCharType="begin"/>
            </w:r>
            <w:r w:rsidRPr="00E50773">
              <w:rPr>
                <w:color w:val="3333FF"/>
                <w:lang w:val="en-US"/>
              </w:rPr>
              <w:instrText xml:space="preserve"> REF _Ref110510188 \h </w:instrText>
            </w:r>
            <w:r>
              <w:rPr>
                <w:color w:val="3333FF"/>
                <w:lang w:val="en-US"/>
              </w:rPr>
              <w:instrText xml:space="preserve"> \* MERGEFORMAT </w:instrText>
            </w:r>
            <w:r w:rsidRPr="00E50773">
              <w:rPr>
                <w:color w:val="3333FF"/>
                <w:lang w:val="en-US"/>
              </w:rPr>
            </w:r>
            <w:r w:rsidRPr="00E50773">
              <w:rPr>
                <w:color w:val="3333FF"/>
                <w:lang w:val="en-US"/>
              </w:rPr>
              <w:fldChar w:fldCharType="separate"/>
            </w:r>
            <w:r w:rsidRPr="00E50773">
              <w:rPr>
                <w:color w:val="3333FF"/>
                <w:lang w:val="en-US"/>
              </w:rPr>
              <w:t xml:space="preserve">Draft Recommendation </w:t>
            </w:r>
            <w:r>
              <w:rPr>
                <w:color w:val="3333FF"/>
                <w:lang w:val="en-US"/>
              </w:rPr>
              <w:t>5.1(2)</w:t>
            </w:r>
            <w:r w:rsidRPr="00E50773">
              <w:rPr>
                <w:color w:val="3333FF"/>
                <w:lang w:val="en-US"/>
              </w:rPr>
              <w:t>/1 (SERCOM-2)</w:t>
            </w:r>
            <w:r w:rsidRPr="00E50773">
              <w:rPr>
                <w:color w:val="3333FF"/>
              </w:rPr>
              <w:fldChar w:fldCharType="end"/>
            </w:r>
            <w:r>
              <w:t xml:space="preserve"> </w:t>
            </w:r>
          </w:p>
        </w:tc>
      </w:tr>
    </w:tbl>
    <w:p w14:paraId="442CFF18" w14:textId="77777777" w:rsidR="00092CAE" w:rsidRDefault="00092CAE">
      <w:pPr>
        <w:tabs>
          <w:tab w:val="clear" w:pos="1134"/>
        </w:tabs>
        <w:jc w:val="left"/>
      </w:pPr>
    </w:p>
    <w:p w14:paraId="0D431869" w14:textId="77777777" w:rsidR="00331964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br w:type="page"/>
      </w:r>
    </w:p>
    <w:p w14:paraId="620C1BB4" w14:textId="77777777" w:rsidR="0037222D" w:rsidRDefault="0037222D" w:rsidP="0037222D">
      <w:pPr>
        <w:pStyle w:val="Heading1"/>
      </w:pPr>
      <w:r>
        <w:lastRenderedPageBreak/>
        <w:t>DRAFT DECISION</w:t>
      </w:r>
    </w:p>
    <w:p w14:paraId="058FC500" w14:textId="77777777" w:rsidR="0037222D" w:rsidRDefault="0037222D" w:rsidP="0037222D">
      <w:pPr>
        <w:pStyle w:val="Heading2"/>
      </w:pPr>
      <w:bookmarkStart w:id="2" w:name="_Draft_Decision_7.1/1"/>
      <w:bookmarkEnd w:id="2"/>
      <w:r>
        <w:t xml:space="preserve">Draft Decision </w:t>
      </w:r>
      <w:r w:rsidR="00FD356D">
        <w:t>7.1</w:t>
      </w:r>
      <w:r w:rsidRPr="00B24FC9">
        <w:t xml:space="preserve">/1 </w:t>
      </w:r>
      <w:r w:rsidR="00FD356D">
        <w:t>(INFCOM-2)</w:t>
      </w:r>
    </w:p>
    <w:p w14:paraId="77854718" w14:textId="77777777" w:rsidR="00DD6321" w:rsidRPr="00E22336" w:rsidRDefault="00DD6321" w:rsidP="00DD6321">
      <w:pPr>
        <w:pStyle w:val="Heading3"/>
        <w:rPr>
          <w:lang w:val="en-US"/>
        </w:rPr>
      </w:pPr>
      <w:r w:rsidRPr="00E22336">
        <w:rPr>
          <w:lang w:val="en-US"/>
        </w:rPr>
        <w:t xml:space="preserve">Approach to amendments to the </w:t>
      </w:r>
      <w:r w:rsidRPr="00E22336">
        <w:rPr>
          <w:i/>
          <w:iCs/>
          <w:lang w:val="en-US"/>
        </w:rPr>
        <w:t>Technical Regulations</w:t>
      </w:r>
      <w:r w:rsidRPr="00E22336">
        <w:rPr>
          <w:lang w:val="en-US"/>
        </w:rPr>
        <w:t xml:space="preserve"> (WMO-No. 49), Appendix to General Provisions</w:t>
      </w:r>
    </w:p>
    <w:p w14:paraId="4F056977" w14:textId="77777777" w:rsidR="004A2FFA" w:rsidRDefault="004A2FFA" w:rsidP="004A2FFA">
      <w:pPr>
        <w:pStyle w:val="WMOBodyText"/>
      </w:pPr>
      <w:r w:rsidRPr="00B24FC9">
        <w:t xml:space="preserve">THE </w:t>
      </w:r>
      <w:r>
        <w:t>COMMISSION FOR OBSERVATION, INFRASTRUCTURE AND INFORMATION SYSTEMS</w:t>
      </w:r>
      <w:r w:rsidRPr="00B24FC9">
        <w:t>,</w:t>
      </w:r>
    </w:p>
    <w:p w14:paraId="1DABDCEA" w14:textId="77777777" w:rsidR="00CB216E" w:rsidRPr="00E22336" w:rsidRDefault="00CB216E" w:rsidP="00CB216E">
      <w:pPr>
        <w:pStyle w:val="WMOBodyText"/>
        <w:rPr>
          <w:lang w:val="en-US"/>
        </w:rPr>
      </w:pPr>
      <w:r w:rsidRPr="00E22336">
        <w:rPr>
          <w:b/>
          <w:bCs/>
          <w:lang w:val="en-US"/>
        </w:rPr>
        <w:t>Recalling</w:t>
      </w:r>
      <w:r w:rsidRPr="00E22336">
        <w:rPr>
          <w:lang w:val="en-US"/>
        </w:rPr>
        <w:t xml:space="preserve"> General Provisions of the</w:t>
      </w:r>
      <w:r w:rsidRPr="00E22336">
        <w:rPr>
          <w:i/>
          <w:iCs/>
          <w:lang w:val="en-US"/>
        </w:rPr>
        <w:t xml:space="preserve"> </w:t>
      </w:r>
      <w:hyperlink r:id="rId14" w:history="1">
        <w:r w:rsidRPr="00E22336">
          <w:rPr>
            <w:rStyle w:val="Hyperlink"/>
            <w:i/>
            <w:iCs/>
            <w:lang w:val="en-US"/>
          </w:rPr>
          <w:t>Technical Regulations</w:t>
        </w:r>
      </w:hyperlink>
      <w:r w:rsidRPr="00E22336">
        <w:rPr>
          <w:lang w:val="en-US"/>
        </w:rPr>
        <w:t xml:space="preserve"> (WMO-No. 49), Volume I, </w:t>
      </w:r>
      <w:hyperlink r:id="rId15" w:history="1">
        <w:r w:rsidRPr="00E22336">
          <w:rPr>
            <w:rStyle w:val="Hyperlink"/>
            <w:lang w:val="en-US"/>
          </w:rPr>
          <w:t>Recommendation 11 (INFCOM-1)</w:t>
        </w:r>
      </w:hyperlink>
      <w:r w:rsidRPr="00E22336">
        <w:rPr>
          <w:lang w:val="en-US"/>
        </w:rPr>
        <w:t xml:space="preserve">, </w:t>
      </w:r>
      <w:r>
        <w:rPr>
          <w:lang w:val="en-US"/>
        </w:rPr>
        <w:t xml:space="preserve">and </w:t>
      </w:r>
      <w:hyperlink r:id="rId16" w:anchor="page=389" w:history="1">
        <w:r w:rsidRPr="000F0205">
          <w:rPr>
            <w:rStyle w:val="Hyperlink"/>
            <w:lang w:val="en-US"/>
          </w:rPr>
          <w:t>Recommendation 17 (INFCOM-1)</w:t>
        </w:r>
      </w:hyperlink>
      <w:r w:rsidRPr="00E22336">
        <w:rPr>
          <w:color w:val="000000"/>
          <w:shd w:val="clear" w:color="auto" w:fill="FFFFFF"/>
          <w:lang w:val="en-US"/>
        </w:rPr>
        <w:t xml:space="preserve">, </w:t>
      </w:r>
    </w:p>
    <w:p w14:paraId="6546B8F3" w14:textId="7A59922B" w:rsidR="00CB216E" w:rsidRPr="00E22336" w:rsidRDefault="00CB216E" w:rsidP="00CB216E">
      <w:pPr>
        <w:pStyle w:val="WMOBodyText"/>
        <w:rPr>
          <w:color w:val="000000"/>
          <w:bdr w:val="none" w:sz="0" w:space="0" w:color="auto" w:frame="1"/>
          <w:shd w:val="clear" w:color="auto" w:fill="FFFFFF"/>
          <w:lang w:val="en-US"/>
        </w:rPr>
      </w:pPr>
      <w:r w:rsidRPr="00E22336">
        <w:rPr>
          <w:b/>
          <w:bCs/>
          <w:color w:val="000000"/>
          <w:bdr w:val="none" w:sz="0" w:space="0" w:color="auto" w:frame="1"/>
          <w:shd w:val="clear" w:color="auto" w:fill="FFFFFF"/>
          <w:lang w:val="en-US"/>
        </w:rPr>
        <w:t>Recalling</w:t>
      </w:r>
      <w:r w:rsidR="00A152DB">
        <w:rPr>
          <w:color w:val="000000"/>
          <w:bdr w:val="none" w:sz="0" w:space="0" w:color="auto" w:frame="1"/>
          <w:shd w:val="clear" w:color="auto" w:fill="FFFFFF"/>
          <w:lang w:val="en-US"/>
        </w:rPr>
        <w:t xml:space="preserve"> </w:t>
      </w:r>
      <w:r w:rsidRPr="00E22336">
        <w:rPr>
          <w:color w:val="000000"/>
          <w:bdr w:val="none" w:sz="0" w:space="0" w:color="auto" w:frame="1"/>
          <w:shd w:val="clear" w:color="auto" w:fill="FFFFFF"/>
          <w:lang w:val="en-US"/>
        </w:rPr>
        <w:t xml:space="preserve">further </w:t>
      </w:r>
      <w:hyperlink r:id="rId17" w:history="1">
        <w:r w:rsidRPr="00E22336">
          <w:rPr>
            <w:rStyle w:val="Hyperlink"/>
            <w:lang w:val="en-US"/>
          </w:rPr>
          <w:t>Decision 15 (EC-75)</w:t>
        </w:r>
      </w:hyperlink>
      <w:r w:rsidRPr="00E22336">
        <w:rPr>
          <w:lang w:val="en-US"/>
        </w:rPr>
        <w:t xml:space="preserve"> </w:t>
      </w:r>
      <w:r>
        <w:rPr>
          <w:lang w:val="en-US"/>
        </w:rPr>
        <w:t xml:space="preserve">- </w:t>
      </w:r>
      <w:r w:rsidRPr="00E22336">
        <w:rPr>
          <w:lang w:val="en-US"/>
        </w:rPr>
        <w:t>Concept note on the designation of technical commissions for approval of non-regulatory publications,</w:t>
      </w:r>
    </w:p>
    <w:p w14:paraId="6532281A" w14:textId="77777777" w:rsidR="002168A1" w:rsidRDefault="002168A1" w:rsidP="002168A1">
      <w:pPr>
        <w:pStyle w:val="WMOBodyText"/>
      </w:pPr>
      <w:r w:rsidRPr="00351279">
        <w:rPr>
          <w:b/>
          <w:bCs/>
        </w:rPr>
        <w:t>Having considered</w:t>
      </w:r>
      <w:r w:rsidRPr="00351279">
        <w:t xml:space="preserve"> </w:t>
      </w:r>
      <w:hyperlink r:id="rId18" w:history="1">
        <w:r w:rsidRPr="000F0205">
          <w:rPr>
            <w:rStyle w:val="Hyperlink"/>
          </w:rPr>
          <w:t>Draft Recommendation 5.1(2)/1 (SERCOM-2),</w:t>
        </w:r>
      </w:hyperlink>
    </w:p>
    <w:p w14:paraId="503967E1" w14:textId="77777777" w:rsidR="00831C2C" w:rsidRPr="00E22336" w:rsidRDefault="00831C2C" w:rsidP="00831C2C">
      <w:pPr>
        <w:pStyle w:val="WMOBodyText"/>
        <w:rPr>
          <w:color w:val="000000"/>
          <w:bdr w:val="none" w:sz="0" w:space="0" w:color="auto" w:frame="1"/>
          <w:lang w:val="en-US"/>
        </w:rPr>
      </w:pPr>
      <w:r w:rsidRPr="00E22336">
        <w:rPr>
          <w:b/>
          <w:bCs/>
          <w:color w:val="000000"/>
          <w:bdr w:val="none" w:sz="0" w:space="0" w:color="auto" w:frame="1"/>
          <w:lang w:val="en-US"/>
        </w:rPr>
        <w:t>Considering</w:t>
      </w:r>
      <w:r w:rsidRPr="00E22336">
        <w:rPr>
          <w:color w:val="000000"/>
          <w:bdr w:val="none" w:sz="0" w:space="0" w:color="auto" w:frame="1"/>
          <w:lang w:val="en-US"/>
        </w:rPr>
        <w:t xml:space="preserve"> the need to define a unified procedure for producing, amending and publishing </w:t>
      </w:r>
      <w:r w:rsidRPr="00E22336">
        <w:rPr>
          <w:lang w:val="en-US"/>
        </w:rPr>
        <w:t xml:space="preserve">the </w:t>
      </w:r>
      <w:hyperlink r:id="rId19" w:history="1">
        <w:r w:rsidRPr="00E22336">
          <w:rPr>
            <w:rStyle w:val="Hyperlink"/>
            <w:i/>
            <w:iCs/>
            <w:lang w:val="en-US"/>
          </w:rPr>
          <w:t>Technical Regulations</w:t>
        </w:r>
      </w:hyperlink>
      <w:r w:rsidRPr="00E22336">
        <w:rPr>
          <w:lang w:val="en-US"/>
        </w:rPr>
        <w:t xml:space="preserve"> (WMO-No. 49), Volume I and III, the annexes to the </w:t>
      </w:r>
      <w:r w:rsidRPr="00B85A29">
        <w:rPr>
          <w:i/>
          <w:iCs/>
          <w:lang w:val="en-US"/>
        </w:rPr>
        <w:t>Technical</w:t>
      </w:r>
      <w:r>
        <w:rPr>
          <w:lang w:val="en-US"/>
        </w:rPr>
        <w:t xml:space="preserve"> </w:t>
      </w:r>
      <w:r w:rsidRPr="00E22336">
        <w:rPr>
          <w:i/>
          <w:iCs/>
          <w:lang w:val="en-US"/>
        </w:rPr>
        <w:t>Regulations</w:t>
      </w:r>
      <w:r w:rsidRPr="00E22336">
        <w:rPr>
          <w:lang w:val="en-US"/>
        </w:rPr>
        <w:t>, and supporting publications to be adopted by all the technical bodies,</w:t>
      </w:r>
    </w:p>
    <w:p w14:paraId="4552F4EF" w14:textId="4FF09109" w:rsidR="00CB7461" w:rsidRPr="00E22336" w:rsidRDefault="002168A1" w:rsidP="002160D1">
      <w:pPr>
        <w:pStyle w:val="WMOBodyText"/>
        <w:ind w:right="-170"/>
        <w:rPr>
          <w:lang w:val="en-US"/>
        </w:rPr>
      </w:pPr>
      <w:r w:rsidRPr="00351279">
        <w:rPr>
          <w:b/>
          <w:bCs/>
        </w:rPr>
        <w:t xml:space="preserve">Decides to </w:t>
      </w:r>
      <w:r w:rsidR="002D454C">
        <w:t>concur with</w:t>
      </w:r>
      <w:r w:rsidRPr="00351279">
        <w:t xml:space="preserve"> </w:t>
      </w:r>
      <w:hyperlink r:id="rId20" w:history="1">
        <w:r w:rsidRPr="000F0205">
          <w:rPr>
            <w:rStyle w:val="Hyperlink"/>
          </w:rPr>
          <w:t>Draft Recommendation 5.1(2)/1 (SERCOM-2)</w:t>
        </w:r>
      </w:hyperlink>
      <w:r w:rsidRPr="00351279">
        <w:t xml:space="preserve">, </w:t>
      </w:r>
      <w:r w:rsidR="00E52E41">
        <w:t xml:space="preserve">which recommends </w:t>
      </w:r>
      <w:r w:rsidR="001A5561">
        <w:t xml:space="preserve">the </w:t>
      </w:r>
      <w:r w:rsidR="00CB7461" w:rsidRPr="00E22336">
        <w:rPr>
          <w:lang w:val="en-US"/>
        </w:rPr>
        <w:t xml:space="preserve">Executive Council to </w:t>
      </w:r>
      <w:r w:rsidR="00CB7461">
        <w:rPr>
          <w:lang w:val="en-US"/>
        </w:rPr>
        <w:t>consider</w:t>
      </w:r>
      <w:r w:rsidR="00CB7461" w:rsidRPr="00E22336">
        <w:rPr>
          <w:lang w:val="en-US"/>
        </w:rPr>
        <w:t xml:space="preserve"> the proposal for a package of regulation changes, listed in </w:t>
      </w:r>
      <w:r w:rsidR="00CB7461" w:rsidRPr="00CB7461">
        <w:rPr>
          <w:lang w:val="en-US"/>
        </w:rPr>
        <w:t>Annex</w:t>
      </w:r>
      <w:r w:rsidR="001A5561">
        <w:rPr>
          <w:rStyle w:val="Hyperlink"/>
          <w:color w:val="auto"/>
          <w:lang w:val="en-US"/>
        </w:rPr>
        <w:t> </w:t>
      </w:r>
      <w:r w:rsidR="00CB7461" w:rsidRPr="00CB7461">
        <w:rPr>
          <w:rStyle w:val="Hyperlink"/>
          <w:color w:val="auto"/>
          <w:lang w:val="en-US"/>
        </w:rPr>
        <w:t>1</w:t>
      </w:r>
      <w:r w:rsidR="00CB7461" w:rsidRPr="00CB7461">
        <w:rPr>
          <w:lang w:val="en-US"/>
        </w:rPr>
        <w:t xml:space="preserve"> </w:t>
      </w:r>
      <w:r w:rsidR="00CB7461" w:rsidRPr="00E22336">
        <w:rPr>
          <w:lang w:val="en-US"/>
        </w:rPr>
        <w:t xml:space="preserve">to the </w:t>
      </w:r>
      <w:r w:rsidR="00CB7461">
        <w:rPr>
          <w:lang w:val="en-US"/>
        </w:rPr>
        <w:t>said</w:t>
      </w:r>
      <w:r w:rsidR="00CB7461" w:rsidRPr="00E22336">
        <w:rPr>
          <w:lang w:val="en-US"/>
        </w:rPr>
        <w:t xml:space="preserve"> Recommendation, necessary to grant the Technical Commissions </w:t>
      </w:r>
      <w:r w:rsidR="00114AF1">
        <w:rPr>
          <w:lang w:val="en-US"/>
        </w:rPr>
        <w:t>the</w:t>
      </w:r>
      <w:r w:rsidR="00CB7461" w:rsidRPr="00E22336">
        <w:rPr>
          <w:lang w:val="en-US"/>
        </w:rPr>
        <w:t xml:space="preserve"> authority to approve publications </w:t>
      </w:r>
      <w:r w:rsidR="00114AF1">
        <w:rPr>
          <w:lang w:val="en-US"/>
        </w:rPr>
        <w:t>of a</w:t>
      </w:r>
      <w:r w:rsidR="00CB7461" w:rsidRPr="00E22336">
        <w:rPr>
          <w:lang w:val="en-US"/>
        </w:rPr>
        <w:t xml:space="preserve"> non-regulatory nature, and associated procedures, to be submitted to the World Meteorological Congress for </w:t>
      </w:r>
      <w:r w:rsidR="00CB7461">
        <w:rPr>
          <w:lang w:val="en-US"/>
        </w:rPr>
        <w:t>adoption</w:t>
      </w:r>
      <w:r w:rsidR="00CB7461" w:rsidRPr="00E22336">
        <w:rPr>
          <w:lang w:val="en-US"/>
        </w:rPr>
        <w:t>,</w:t>
      </w:r>
      <w:r w:rsidR="00215F71">
        <w:rPr>
          <w:lang w:val="en-US"/>
        </w:rPr>
        <w:t xml:space="preserve"> and </w:t>
      </w:r>
      <w:r w:rsidR="00B117D5">
        <w:rPr>
          <w:lang w:val="en-US"/>
        </w:rPr>
        <w:t xml:space="preserve">invites </w:t>
      </w:r>
      <w:r w:rsidR="00CB7461">
        <w:rPr>
          <w:lang w:val="en-US"/>
        </w:rPr>
        <w:t>Members to provide the Secretariat with feedback to the d</w:t>
      </w:r>
      <w:r w:rsidR="00CB7461" w:rsidRPr="00345343">
        <w:rPr>
          <w:lang w:val="en-US"/>
        </w:rPr>
        <w:t xml:space="preserve">raft new Appendix to the General Provisions of the </w:t>
      </w:r>
      <w:r w:rsidR="00CB7461" w:rsidRPr="00345343">
        <w:rPr>
          <w:i/>
          <w:iCs/>
          <w:lang w:val="en-US"/>
        </w:rPr>
        <w:t>Technical Regulations</w:t>
      </w:r>
      <w:r w:rsidR="00CB7461" w:rsidRPr="00345343">
        <w:rPr>
          <w:lang w:val="en-US"/>
        </w:rPr>
        <w:t>,</w:t>
      </w:r>
      <w:r w:rsidR="00CB7461">
        <w:rPr>
          <w:lang w:val="en-US"/>
        </w:rPr>
        <w:t xml:space="preserve"> attached as</w:t>
      </w:r>
      <w:r w:rsidR="00CB7461" w:rsidRPr="00E22336">
        <w:rPr>
          <w:lang w:val="en-US"/>
        </w:rPr>
        <w:t xml:space="preserve"> </w:t>
      </w:r>
      <w:r w:rsidR="00CB7461" w:rsidRPr="003227A5">
        <w:rPr>
          <w:lang w:val="en-US"/>
        </w:rPr>
        <w:t>Annex 2</w:t>
      </w:r>
      <w:r w:rsidR="00CB7461" w:rsidRPr="00E22336">
        <w:rPr>
          <w:lang w:val="en-US"/>
        </w:rPr>
        <w:t xml:space="preserve"> to the </w:t>
      </w:r>
      <w:r w:rsidR="003227A5">
        <w:rPr>
          <w:lang w:val="en-US"/>
        </w:rPr>
        <w:t>said</w:t>
      </w:r>
      <w:r w:rsidR="00CB7461" w:rsidRPr="00E22336">
        <w:rPr>
          <w:lang w:val="en-US"/>
        </w:rPr>
        <w:t xml:space="preserve"> Recommendation</w:t>
      </w:r>
      <w:r w:rsidR="00CB7461">
        <w:rPr>
          <w:lang w:val="en-US"/>
        </w:rPr>
        <w:t>, by 30</w:t>
      </w:r>
      <w:r w:rsidR="002160D1">
        <w:rPr>
          <w:lang w:val="en-US"/>
        </w:rPr>
        <w:t> </w:t>
      </w:r>
      <w:r w:rsidR="00CB7461">
        <w:rPr>
          <w:lang w:val="en-US"/>
        </w:rPr>
        <w:t>November</w:t>
      </w:r>
      <w:r w:rsidR="002160D1">
        <w:rPr>
          <w:lang w:val="en-US"/>
        </w:rPr>
        <w:t> </w:t>
      </w:r>
      <w:r w:rsidR="00CB7461">
        <w:rPr>
          <w:lang w:val="en-US"/>
        </w:rPr>
        <w:t>2022</w:t>
      </w:r>
      <w:r w:rsidR="003227A5">
        <w:rPr>
          <w:lang w:val="en-US"/>
        </w:rPr>
        <w:t>.</w:t>
      </w:r>
    </w:p>
    <w:p w14:paraId="1A8B58A2" w14:textId="4B010BAD" w:rsidR="00814946" w:rsidRDefault="0037222D" w:rsidP="0037222D">
      <w:pPr>
        <w:pStyle w:val="WMOBodyText"/>
        <w:jc w:val="center"/>
      </w:pPr>
      <w:r>
        <w:t>__________</w:t>
      </w:r>
      <w:r w:rsidR="002160D1">
        <w:t>_____</w:t>
      </w:r>
    </w:p>
    <w:sectPr w:rsidR="00814946" w:rsidSect="0020095E">
      <w:headerReference w:type="even" r:id="rId21"/>
      <w:headerReference w:type="default" r:id="rId22"/>
      <w:headerReference w:type="first" r:id="rId23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06F35" w14:textId="77777777" w:rsidR="003D1AEC" w:rsidRDefault="003D1AEC">
      <w:r>
        <w:separator/>
      </w:r>
    </w:p>
    <w:p w14:paraId="75E72848" w14:textId="77777777" w:rsidR="003D1AEC" w:rsidRDefault="003D1AEC"/>
    <w:p w14:paraId="40013EE1" w14:textId="77777777" w:rsidR="003D1AEC" w:rsidRDefault="003D1AEC"/>
  </w:endnote>
  <w:endnote w:type="continuationSeparator" w:id="0">
    <w:p w14:paraId="4FCF7768" w14:textId="77777777" w:rsidR="003D1AEC" w:rsidRDefault="003D1AEC">
      <w:r>
        <w:continuationSeparator/>
      </w:r>
    </w:p>
    <w:p w14:paraId="6524AC91" w14:textId="77777777" w:rsidR="003D1AEC" w:rsidRDefault="003D1AEC"/>
    <w:p w14:paraId="4AFD2412" w14:textId="77777777" w:rsidR="003D1AEC" w:rsidRDefault="003D1AEC"/>
  </w:endnote>
  <w:endnote w:type="continuationNotice" w:id="1">
    <w:p w14:paraId="5FFDEDFA" w14:textId="77777777" w:rsidR="003D1AEC" w:rsidRDefault="003D1A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A36A0" w14:textId="77777777" w:rsidR="003D1AEC" w:rsidRDefault="003D1AEC">
      <w:r>
        <w:separator/>
      </w:r>
    </w:p>
  </w:footnote>
  <w:footnote w:type="continuationSeparator" w:id="0">
    <w:p w14:paraId="3CE924CA" w14:textId="77777777" w:rsidR="003D1AEC" w:rsidRDefault="003D1AEC">
      <w:r>
        <w:continuationSeparator/>
      </w:r>
    </w:p>
    <w:p w14:paraId="57351BC5" w14:textId="77777777" w:rsidR="003D1AEC" w:rsidRDefault="003D1AEC"/>
    <w:p w14:paraId="2B772BDC" w14:textId="77777777" w:rsidR="003D1AEC" w:rsidRDefault="003D1AEC"/>
  </w:footnote>
  <w:footnote w:type="continuationNotice" w:id="1">
    <w:p w14:paraId="75E8B43F" w14:textId="77777777" w:rsidR="003D1AEC" w:rsidRDefault="003D1A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25B43" w14:textId="77777777" w:rsidR="00CE7710" w:rsidRDefault="001860C3">
    <w:pPr>
      <w:pStyle w:val="Header"/>
    </w:pPr>
    <w:r>
      <w:rPr>
        <w:noProof/>
      </w:rPr>
      <w:pict w14:anchorId="716D0F05">
        <v:shapetype id="_x0000_m206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7FE62754">
        <v:shape id="_x0000_s2049" type="#_x0000_m2068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6273F3A0" w14:textId="77777777" w:rsidR="006B1D8B" w:rsidRDefault="006B1D8B"/>
  <w:p w14:paraId="15563C9C" w14:textId="77777777" w:rsidR="00CE7710" w:rsidRDefault="001860C3">
    <w:pPr>
      <w:pStyle w:val="Header"/>
    </w:pPr>
    <w:r>
      <w:rPr>
        <w:noProof/>
      </w:rPr>
      <w:pict w14:anchorId="3B7FACBD">
        <v:shapetype id="_x0000_m206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C12A5CE">
        <v:shape id="_x0000_s2051" type="#_x0000_m2067" style="position:absolute;left:0;text-align:left;margin-left:0;margin-top:0;width:595.3pt;height:550pt;z-index:-25165516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85FED56" w14:textId="77777777" w:rsidR="006B1D8B" w:rsidRDefault="006B1D8B"/>
  <w:p w14:paraId="0320CCB8" w14:textId="77777777" w:rsidR="00CE7710" w:rsidRDefault="001860C3">
    <w:pPr>
      <w:pStyle w:val="Header"/>
    </w:pPr>
    <w:r>
      <w:rPr>
        <w:noProof/>
      </w:rPr>
      <w:pict w14:anchorId="626F8CD3">
        <v:shapetype id="_x0000_m206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6C7A754F">
        <v:shape id="_x0000_s2053" type="#_x0000_m2066" style="position:absolute;left:0;text-align:left;margin-left:0;margin-top:0;width:595.3pt;height:550pt;z-index:-25165619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37008" w14:textId="207E99EE" w:rsidR="00A432CD" w:rsidRDefault="00FD356D" w:rsidP="00B72444">
    <w:pPr>
      <w:pStyle w:val="Header"/>
    </w:pPr>
    <w:r>
      <w:t>INFCOM-2/Doc. 7.1</w:t>
    </w:r>
    <w:r w:rsidR="00A432CD" w:rsidRPr="00C2459D">
      <w:t xml:space="preserve">, DRAFT 1,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1860C3">
      <w:pict w14:anchorId="30F33E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left:0;text-align:left;margin-left:0;margin-top:0;width:50pt;height:50pt;z-index:251656192;visibility:hidden;mso-position-horizontal-relative:text;mso-position-vertical-relative:text">
          <v:path gradientshapeok="f"/>
          <o:lock v:ext="edit" selection="t"/>
        </v:shape>
      </w:pict>
    </w:r>
    <w:r w:rsidR="001860C3">
      <w:pict w14:anchorId="36FE8AE0">
        <v:shape id="_x0000_s2064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ED803" w14:textId="7CFF5F20" w:rsidR="00CE7710" w:rsidRDefault="001860C3" w:rsidP="00182623">
    <w:pPr>
      <w:pStyle w:val="Header"/>
      <w:spacing w:after="120"/>
      <w:jc w:val="left"/>
    </w:pPr>
    <w:r>
      <w:pict w14:anchorId="6B48EE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margin-left:0;margin-top:0;width:50pt;height:50pt;z-index:251658240;visibility:hidden">
          <v:path gradientshapeok="f"/>
          <o:lock v:ext="edit" selection="t"/>
        </v:shape>
      </w:pict>
    </w:r>
    <w:r>
      <w:pict w14:anchorId="60767A8A">
        <v:shape id="_x0000_s2062" type="#_x0000_t75" style="position:absolute;margin-left:0;margin-top:0;width:50pt;height:50pt;z-index:25165926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45"/>
  </w:num>
  <w:num w:numId="3">
    <w:abstractNumId w:val="28"/>
  </w:num>
  <w:num w:numId="4">
    <w:abstractNumId w:val="37"/>
  </w:num>
  <w:num w:numId="5">
    <w:abstractNumId w:val="18"/>
  </w:num>
  <w:num w:numId="6">
    <w:abstractNumId w:val="23"/>
  </w:num>
  <w:num w:numId="7">
    <w:abstractNumId w:val="19"/>
  </w:num>
  <w:num w:numId="8">
    <w:abstractNumId w:val="31"/>
  </w:num>
  <w:num w:numId="9">
    <w:abstractNumId w:val="22"/>
  </w:num>
  <w:num w:numId="10">
    <w:abstractNumId w:val="21"/>
  </w:num>
  <w:num w:numId="11">
    <w:abstractNumId w:val="36"/>
  </w:num>
  <w:num w:numId="12">
    <w:abstractNumId w:val="12"/>
  </w:num>
  <w:num w:numId="13">
    <w:abstractNumId w:val="26"/>
  </w:num>
  <w:num w:numId="14">
    <w:abstractNumId w:val="41"/>
  </w:num>
  <w:num w:numId="15">
    <w:abstractNumId w:val="2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3"/>
  </w:num>
  <w:num w:numId="27">
    <w:abstractNumId w:val="32"/>
  </w:num>
  <w:num w:numId="28">
    <w:abstractNumId w:val="24"/>
  </w:num>
  <w:num w:numId="29">
    <w:abstractNumId w:val="33"/>
  </w:num>
  <w:num w:numId="30">
    <w:abstractNumId w:val="34"/>
  </w:num>
  <w:num w:numId="31">
    <w:abstractNumId w:val="15"/>
  </w:num>
  <w:num w:numId="32">
    <w:abstractNumId w:val="40"/>
  </w:num>
  <w:num w:numId="33">
    <w:abstractNumId w:val="38"/>
  </w:num>
  <w:num w:numId="34">
    <w:abstractNumId w:val="25"/>
  </w:num>
  <w:num w:numId="35">
    <w:abstractNumId w:val="27"/>
  </w:num>
  <w:num w:numId="36">
    <w:abstractNumId w:val="44"/>
  </w:num>
  <w:num w:numId="37">
    <w:abstractNumId w:val="35"/>
  </w:num>
  <w:num w:numId="38">
    <w:abstractNumId w:val="13"/>
  </w:num>
  <w:num w:numId="39">
    <w:abstractNumId w:val="14"/>
  </w:num>
  <w:num w:numId="40">
    <w:abstractNumId w:val="16"/>
  </w:num>
  <w:num w:numId="41">
    <w:abstractNumId w:val="10"/>
  </w:num>
  <w:num w:numId="42">
    <w:abstractNumId w:val="42"/>
  </w:num>
  <w:num w:numId="43">
    <w:abstractNumId w:val="17"/>
  </w:num>
  <w:num w:numId="44">
    <w:abstractNumId w:val="29"/>
  </w:num>
  <w:num w:numId="45">
    <w:abstractNumId w:val="39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56D"/>
    <w:rsid w:val="00005301"/>
    <w:rsid w:val="000133EE"/>
    <w:rsid w:val="000206A8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C225A"/>
    <w:rsid w:val="000C6781"/>
    <w:rsid w:val="000D0753"/>
    <w:rsid w:val="000F0205"/>
    <w:rsid w:val="000F5E49"/>
    <w:rsid w:val="000F7A87"/>
    <w:rsid w:val="00102EAE"/>
    <w:rsid w:val="001047DC"/>
    <w:rsid w:val="00105D2E"/>
    <w:rsid w:val="00110315"/>
    <w:rsid w:val="00111BFD"/>
    <w:rsid w:val="0011498B"/>
    <w:rsid w:val="00114AF1"/>
    <w:rsid w:val="00120147"/>
    <w:rsid w:val="00123140"/>
    <w:rsid w:val="00123D94"/>
    <w:rsid w:val="00130BBC"/>
    <w:rsid w:val="00133D13"/>
    <w:rsid w:val="00150DBD"/>
    <w:rsid w:val="00156944"/>
    <w:rsid w:val="00156F9B"/>
    <w:rsid w:val="00163BA3"/>
    <w:rsid w:val="00166B31"/>
    <w:rsid w:val="00167D54"/>
    <w:rsid w:val="00176AB5"/>
    <w:rsid w:val="00180771"/>
    <w:rsid w:val="00182623"/>
    <w:rsid w:val="001860C3"/>
    <w:rsid w:val="00190854"/>
    <w:rsid w:val="001930A3"/>
    <w:rsid w:val="00196EB8"/>
    <w:rsid w:val="001A25F0"/>
    <w:rsid w:val="001A341E"/>
    <w:rsid w:val="001A5561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1098"/>
    <w:rsid w:val="001E2C22"/>
    <w:rsid w:val="001E740C"/>
    <w:rsid w:val="001E7DD0"/>
    <w:rsid w:val="001F1BDA"/>
    <w:rsid w:val="0020095E"/>
    <w:rsid w:val="00210BFE"/>
    <w:rsid w:val="00210D30"/>
    <w:rsid w:val="00215F71"/>
    <w:rsid w:val="002160D1"/>
    <w:rsid w:val="002168A1"/>
    <w:rsid w:val="002204FD"/>
    <w:rsid w:val="00221020"/>
    <w:rsid w:val="00227029"/>
    <w:rsid w:val="002308B5"/>
    <w:rsid w:val="00233C0B"/>
    <w:rsid w:val="00234A34"/>
    <w:rsid w:val="00246DFC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2F2B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454C"/>
    <w:rsid w:val="002D5E00"/>
    <w:rsid w:val="002D6DAC"/>
    <w:rsid w:val="002E261D"/>
    <w:rsid w:val="002E3FAD"/>
    <w:rsid w:val="002E4E16"/>
    <w:rsid w:val="002F6DAC"/>
    <w:rsid w:val="00301E8C"/>
    <w:rsid w:val="003051CC"/>
    <w:rsid w:val="00307DDD"/>
    <w:rsid w:val="003143C9"/>
    <w:rsid w:val="003146E9"/>
    <w:rsid w:val="00314D5D"/>
    <w:rsid w:val="00320009"/>
    <w:rsid w:val="003227A5"/>
    <w:rsid w:val="0032424A"/>
    <w:rsid w:val="003245D3"/>
    <w:rsid w:val="00330AA3"/>
    <w:rsid w:val="00331584"/>
    <w:rsid w:val="00331964"/>
    <w:rsid w:val="00334987"/>
    <w:rsid w:val="00340C69"/>
    <w:rsid w:val="00342E34"/>
    <w:rsid w:val="00346E59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7016"/>
    <w:rsid w:val="003B0C08"/>
    <w:rsid w:val="003C17A5"/>
    <w:rsid w:val="003C1843"/>
    <w:rsid w:val="003D1552"/>
    <w:rsid w:val="003D1AEC"/>
    <w:rsid w:val="003E381F"/>
    <w:rsid w:val="003E4046"/>
    <w:rsid w:val="003F003A"/>
    <w:rsid w:val="003F125B"/>
    <w:rsid w:val="003F7B3F"/>
    <w:rsid w:val="004058AD"/>
    <w:rsid w:val="0041078D"/>
    <w:rsid w:val="00416F97"/>
    <w:rsid w:val="00425173"/>
    <w:rsid w:val="004270B8"/>
    <w:rsid w:val="0043039B"/>
    <w:rsid w:val="00436197"/>
    <w:rsid w:val="004423FE"/>
    <w:rsid w:val="00445C35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2FFA"/>
    <w:rsid w:val="004A4B47"/>
    <w:rsid w:val="004B0EC9"/>
    <w:rsid w:val="004B7BAA"/>
    <w:rsid w:val="004C2DF7"/>
    <w:rsid w:val="004C4E0B"/>
    <w:rsid w:val="004C7175"/>
    <w:rsid w:val="004D497E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EA5"/>
    <w:rsid w:val="00525B80"/>
    <w:rsid w:val="0053098F"/>
    <w:rsid w:val="00535813"/>
    <w:rsid w:val="00536B2E"/>
    <w:rsid w:val="00546D8E"/>
    <w:rsid w:val="00553738"/>
    <w:rsid w:val="00553F7E"/>
    <w:rsid w:val="00561312"/>
    <w:rsid w:val="00563E45"/>
    <w:rsid w:val="0056646F"/>
    <w:rsid w:val="00571AE1"/>
    <w:rsid w:val="00581B28"/>
    <w:rsid w:val="005859C2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56AE"/>
    <w:rsid w:val="005D666D"/>
    <w:rsid w:val="005E3A59"/>
    <w:rsid w:val="00604802"/>
    <w:rsid w:val="00615AB0"/>
    <w:rsid w:val="00616247"/>
    <w:rsid w:val="0061778C"/>
    <w:rsid w:val="00625AA8"/>
    <w:rsid w:val="00636B90"/>
    <w:rsid w:val="00644BC5"/>
    <w:rsid w:val="0064738B"/>
    <w:rsid w:val="006508EA"/>
    <w:rsid w:val="00667E86"/>
    <w:rsid w:val="0068392D"/>
    <w:rsid w:val="00697DB5"/>
    <w:rsid w:val="006A1B33"/>
    <w:rsid w:val="006A492A"/>
    <w:rsid w:val="006B1D8B"/>
    <w:rsid w:val="006B5C72"/>
    <w:rsid w:val="006B7C5A"/>
    <w:rsid w:val="006C289D"/>
    <w:rsid w:val="006D0310"/>
    <w:rsid w:val="006D2009"/>
    <w:rsid w:val="006D5576"/>
    <w:rsid w:val="006E766D"/>
    <w:rsid w:val="006F4B29"/>
    <w:rsid w:val="006F6CE9"/>
    <w:rsid w:val="0070517C"/>
    <w:rsid w:val="00705C9F"/>
    <w:rsid w:val="007070B9"/>
    <w:rsid w:val="00716951"/>
    <w:rsid w:val="00720F6B"/>
    <w:rsid w:val="00730ADA"/>
    <w:rsid w:val="00732C37"/>
    <w:rsid w:val="00735D9E"/>
    <w:rsid w:val="00737AC9"/>
    <w:rsid w:val="00745A09"/>
    <w:rsid w:val="00745EAB"/>
    <w:rsid w:val="00751EAF"/>
    <w:rsid w:val="00754CF7"/>
    <w:rsid w:val="00757B0D"/>
    <w:rsid w:val="00761320"/>
    <w:rsid w:val="007651B1"/>
    <w:rsid w:val="00767CE1"/>
    <w:rsid w:val="00771A68"/>
    <w:rsid w:val="007744D2"/>
    <w:rsid w:val="00786136"/>
    <w:rsid w:val="007B05CF"/>
    <w:rsid w:val="007B19B9"/>
    <w:rsid w:val="007C212A"/>
    <w:rsid w:val="007D2606"/>
    <w:rsid w:val="007D5B3C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946"/>
    <w:rsid w:val="00814CC6"/>
    <w:rsid w:val="00826D53"/>
    <w:rsid w:val="008273AA"/>
    <w:rsid w:val="00831751"/>
    <w:rsid w:val="00831C2C"/>
    <w:rsid w:val="00833369"/>
    <w:rsid w:val="00835B42"/>
    <w:rsid w:val="00842A4E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8163A"/>
    <w:rsid w:val="00893376"/>
    <w:rsid w:val="0089601F"/>
    <w:rsid w:val="008970B8"/>
    <w:rsid w:val="008A7313"/>
    <w:rsid w:val="008A7D91"/>
    <w:rsid w:val="008B3BFB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20506"/>
    <w:rsid w:val="00920AFF"/>
    <w:rsid w:val="00931DEB"/>
    <w:rsid w:val="00933957"/>
    <w:rsid w:val="009356FA"/>
    <w:rsid w:val="0094603B"/>
    <w:rsid w:val="009504A1"/>
    <w:rsid w:val="00950605"/>
    <w:rsid w:val="00952233"/>
    <w:rsid w:val="00954D66"/>
    <w:rsid w:val="00963F8F"/>
    <w:rsid w:val="00964874"/>
    <w:rsid w:val="00973C62"/>
    <w:rsid w:val="00975D76"/>
    <w:rsid w:val="00982E51"/>
    <w:rsid w:val="009874B9"/>
    <w:rsid w:val="00993581"/>
    <w:rsid w:val="009A288C"/>
    <w:rsid w:val="009A64C1"/>
    <w:rsid w:val="009B6697"/>
    <w:rsid w:val="009C2B43"/>
    <w:rsid w:val="009C2EA4"/>
    <w:rsid w:val="009C4C04"/>
    <w:rsid w:val="009D5213"/>
    <w:rsid w:val="009E1C95"/>
    <w:rsid w:val="009F196A"/>
    <w:rsid w:val="009F4663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52DB"/>
    <w:rsid w:val="00A16891"/>
    <w:rsid w:val="00A268CE"/>
    <w:rsid w:val="00A332E8"/>
    <w:rsid w:val="00A35AF5"/>
    <w:rsid w:val="00A35DDF"/>
    <w:rsid w:val="00A36CBA"/>
    <w:rsid w:val="00A37609"/>
    <w:rsid w:val="00A432CD"/>
    <w:rsid w:val="00A45741"/>
    <w:rsid w:val="00A47EF6"/>
    <w:rsid w:val="00A50291"/>
    <w:rsid w:val="00A530E4"/>
    <w:rsid w:val="00A57FDC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74EF"/>
    <w:rsid w:val="00A95415"/>
    <w:rsid w:val="00AA3C89"/>
    <w:rsid w:val="00AB06F8"/>
    <w:rsid w:val="00AB32BD"/>
    <w:rsid w:val="00AB4723"/>
    <w:rsid w:val="00AC4CDB"/>
    <w:rsid w:val="00AC70FE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17D5"/>
    <w:rsid w:val="00B15C76"/>
    <w:rsid w:val="00B165E6"/>
    <w:rsid w:val="00B235DB"/>
    <w:rsid w:val="00B424D9"/>
    <w:rsid w:val="00B447C0"/>
    <w:rsid w:val="00B52510"/>
    <w:rsid w:val="00B53E53"/>
    <w:rsid w:val="00B548A2"/>
    <w:rsid w:val="00B56934"/>
    <w:rsid w:val="00B62F03"/>
    <w:rsid w:val="00B72444"/>
    <w:rsid w:val="00B93B62"/>
    <w:rsid w:val="00B953D1"/>
    <w:rsid w:val="00B96D93"/>
    <w:rsid w:val="00BA30D0"/>
    <w:rsid w:val="00BB0D32"/>
    <w:rsid w:val="00BC60A4"/>
    <w:rsid w:val="00BC76B5"/>
    <w:rsid w:val="00BD5420"/>
    <w:rsid w:val="00BF5191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50727"/>
    <w:rsid w:val="00C55E5B"/>
    <w:rsid w:val="00C62739"/>
    <w:rsid w:val="00C720A4"/>
    <w:rsid w:val="00C74F59"/>
    <w:rsid w:val="00C7611C"/>
    <w:rsid w:val="00C94097"/>
    <w:rsid w:val="00CA4269"/>
    <w:rsid w:val="00CA48CA"/>
    <w:rsid w:val="00CA7330"/>
    <w:rsid w:val="00CB1C84"/>
    <w:rsid w:val="00CB216E"/>
    <w:rsid w:val="00CB3462"/>
    <w:rsid w:val="00CB5363"/>
    <w:rsid w:val="00CB64F0"/>
    <w:rsid w:val="00CB7461"/>
    <w:rsid w:val="00CC2909"/>
    <w:rsid w:val="00CD0549"/>
    <w:rsid w:val="00CE6B3C"/>
    <w:rsid w:val="00CE7710"/>
    <w:rsid w:val="00D05E6F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00AB"/>
    <w:rsid w:val="00D52E43"/>
    <w:rsid w:val="00D664D7"/>
    <w:rsid w:val="00D67E1E"/>
    <w:rsid w:val="00D7097B"/>
    <w:rsid w:val="00D7197D"/>
    <w:rsid w:val="00D72BC4"/>
    <w:rsid w:val="00D80A17"/>
    <w:rsid w:val="00D815FC"/>
    <w:rsid w:val="00D81714"/>
    <w:rsid w:val="00D8517B"/>
    <w:rsid w:val="00D91DFA"/>
    <w:rsid w:val="00DA159A"/>
    <w:rsid w:val="00DB1AB2"/>
    <w:rsid w:val="00DC17C2"/>
    <w:rsid w:val="00DC4FDF"/>
    <w:rsid w:val="00DC66F0"/>
    <w:rsid w:val="00DD3105"/>
    <w:rsid w:val="00DD3A65"/>
    <w:rsid w:val="00DD62C6"/>
    <w:rsid w:val="00DD6321"/>
    <w:rsid w:val="00DE3B92"/>
    <w:rsid w:val="00DE48B4"/>
    <w:rsid w:val="00DE5ACA"/>
    <w:rsid w:val="00DE7137"/>
    <w:rsid w:val="00DF18E4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36A28"/>
    <w:rsid w:val="00E52E41"/>
    <w:rsid w:val="00E538E6"/>
    <w:rsid w:val="00E56696"/>
    <w:rsid w:val="00E74332"/>
    <w:rsid w:val="00E768A9"/>
    <w:rsid w:val="00E802A2"/>
    <w:rsid w:val="00E8410F"/>
    <w:rsid w:val="00E85C0B"/>
    <w:rsid w:val="00E86623"/>
    <w:rsid w:val="00EA7089"/>
    <w:rsid w:val="00EB13D7"/>
    <w:rsid w:val="00EB1E83"/>
    <w:rsid w:val="00EB322A"/>
    <w:rsid w:val="00ED22CB"/>
    <w:rsid w:val="00ED463E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5D8D"/>
    <w:rsid w:val="00F3069C"/>
    <w:rsid w:val="00F3603E"/>
    <w:rsid w:val="00F44CCB"/>
    <w:rsid w:val="00F474C9"/>
    <w:rsid w:val="00F5126B"/>
    <w:rsid w:val="00F54EA3"/>
    <w:rsid w:val="00F61628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A54C0"/>
    <w:rsid w:val="00FB0872"/>
    <w:rsid w:val="00FB54CC"/>
    <w:rsid w:val="00FD1A37"/>
    <w:rsid w:val="00FD356D"/>
    <w:rsid w:val="00FD4E5B"/>
    <w:rsid w:val="00FE4E73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9"/>
    <o:shapelayout v:ext="edit">
      <o:idmap v:ext="edit" data="1"/>
    </o:shapelayout>
  </w:shapeDefaults>
  <w:decimalSymbol w:val=","/>
  <w:listSeparator w:val=","/>
  <w14:docId w14:val="4123A5B8"/>
  <w15:docId w15:val="{91CCBFC4-C9A1-4C90-A376-1D11864E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uiPriority w:val="9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uiPriority w:val="9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EC-75/English/2.%20PROVISIONAL%20REPORT%20(Approved%20documents)/EC-75-d05-3(2)-APPROVAL-OF-NON-REGULATORY-PUBLICATIONS-approved_en.docx?Web=1" TargetMode="External"/><Relationship Id="rId18" Type="http://schemas.openxmlformats.org/officeDocument/2006/relationships/hyperlink" Target="https://meetings.wmo.int/SERCOM-2/English/Forms/AllItems.aspx?RootFolder=%2FSERCOM%2D2%2FEnglish%2F1%2E%20DRAFTS%20FOR%20DISCUSSION&amp;FolderCTID=0x012000A60A2C5B5006AA41980F5F2A7BA92166&amp;View=%7B1EB384EC%2D8FE1%2D4B79%2DB8F9%2DA0AEB19C9F87%7D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index.php?lvl=notice_display&amp;id=14073" TargetMode="External"/><Relationship Id="rId17" Type="http://schemas.openxmlformats.org/officeDocument/2006/relationships/hyperlink" Target="https://meetings.wmo.int/EC-75/English/2.%20PROVISIONAL%20REPORT%20(Approved%20documents)/EC-75-d05-3(2)-APPROVAL-OF-NON-REGULATORY-PUBLICATIONS-approved_en.docx?Web=1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197/" TargetMode="External"/><Relationship Id="rId20" Type="http://schemas.openxmlformats.org/officeDocument/2006/relationships/hyperlink" Target="https://meetings.wmo.int/SERCOM-2/English/Forms/AllItems.aspx?RootFolder=%2FSERCOM%2D2%2FEnglish%2F1%2E%20DRAFTS%20FOR%20DISCUSSION&amp;FolderCTID=0x012000A60A2C5B5006AA41980F5F2A7BA92166&amp;View=%7B1EB384EC%2D8FE1%2D4B79%2DB8F9%2DA0AEB19C9F87%7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index.php?lvl=notice_display&amp;id=21866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index.php?lvl=notice_display&amp;id=1407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ndex.php?lvl=notice_display&amp;id=14073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1C3548F6AA649BE9287F9F91150DB" ma:contentTypeVersion="" ma:contentTypeDescription="Create a new document." ma:contentTypeScope="" ma:versionID="f39efd7b14e4ce7e549b8935b8ef9ae9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5e341866-7c71-43e7-8f34-3402d2b4f504"/>
    <ds:schemaRef ds:uri="8ec0b821-9e03-4938-aec6-1dcf2ecf3e10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DAAEBC8-77B8-4553-BC4D-D8A5D5D038D8}"/>
</file>

<file path=customXml/itemProps4.xml><?xml version="1.0" encoding="utf-8"?>
<ds:datastoreItem xmlns:ds="http://schemas.openxmlformats.org/officeDocument/2006/customXml" ds:itemID="{AA8531AD-C72B-4173-B6DC-F298A571EA0B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4391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Jitsuko Hasegawa</dc:creator>
  <cp:lastModifiedBy>Catherine OSTINELLI-KELLY</cp:lastModifiedBy>
  <cp:revision>2</cp:revision>
  <cp:lastPrinted>2013-03-12T09:27:00Z</cp:lastPrinted>
  <dcterms:created xsi:type="dcterms:W3CDTF">2022-10-10T14:37:00Z</dcterms:created>
  <dcterms:modified xsi:type="dcterms:W3CDTF">2022-10-10T14:37:00Z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0x01010028E1C3548F6AA649BE9287F9F91150DB</vt:lpwstr>
  </property>
  <property fmtid="{D5CDD505-2E9C-101B-9397-08002B2CF9AE}" pid="3" name="MediaServiceImageTags">
    <vt:lpwstr/>
  </property>
</Properties>
</file>